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5005BBCC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070268F7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131">
        <w:rPr>
          <w:noProof/>
        </w:rPr>
        <w:t>Славуна</w:t>
      </w:r>
      <w:r w:rsidR="000235A4">
        <w:rPr>
          <w:noProof/>
        </w:rPr>
        <w:t xml:space="preserve"> </w:t>
      </w:r>
      <w:r w:rsidR="009B4F9A">
        <w:t>4</w:t>
      </w:r>
      <w:r>
        <w:t>*</w:t>
      </w:r>
    </w:p>
    <w:p w14:paraId="158DCBD7" w14:textId="59774440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17588A">
        <w:t>5</w:t>
      </w:r>
    </w:p>
    <w:p w14:paraId="7BD1A482" w14:textId="3D1454CB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17588A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17588A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4CDB96F6" w14:textId="77777777" w:rsidR="002B26A8" w:rsidRPr="000235A4" w:rsidRDefault="002B26A8" w:rsidP="000235A4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462EAFE8" w14:textId="77777777" w:rsidR="000235A4" w:rsidRDefault="000235A4" w:rsidP="000235A4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Закрит басейн и джакузи</w:t>
            </w:r>
          </w:p>
          <w:p w14:paraId="7D9A10B9" w14:textId="72E2453C" w:rsidR="000235A4" w:rsidRPr="000235A4" w:rsidRDefault="000235A4" w:rsidP="000235A4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Сет кафе и чай </w:t>
            </w:r>
            <w:r w:rsidR="00A96E87">
              <w:rPr>
                <w:sz w:val="18"/>
                <w:szCs w:val="20"/>
              </w:rPr>
              <w:t>–</w:t>
            </w:r>
            <w:r>
              <w:rPr>
                <w:sz w:val="18"/>
                <w:szCs w:val="20"/>
              </w:rPr>
              <w:t xml:space="preserve"> </w:t>
            </w:r>
            <w:r w:rsidR="00A96E87">
              <w:rPr>
                <w:sz w:val="18"/>
                <w:szCs w:val="20"/>
              </w:rPr>
              <w:t>ежедневно зареждане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1657D902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3E2BAA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2BB61C1B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0235A4">
              <w:rPr>
                <w:b/>
                <w:sz w:val="20"/>
              </w:rPr>
              <w:t>Мура-Славуна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4475BF43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731789">
              <w:rPr>
                <w:sz w:val="18"/>
                <w:szCs w:val="18"/>
              </w:rPr>
              <w:t xml:space="preserve">; </w:t>
            </w:r>
            <w:r w:rsidR="00731789" w:rsidRPr="00731789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6405CFBE" w14:textId="77777777" w:rsidR="009C1698" w:rsidRDefault="009C1698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9C1698">
              <w:rPr>
                <w:b/>
                <w:bCs/>
              </w:rPr>
              <w:t>Плаж (не важи за само нощувка)</w:t>
            </w:r>
          </w:p>
          <w:p w14:paraId="37065A17" w14:textId="0BE825FB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7D5AC8E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  <w:r w:rsidR="000235A4">
              <w:rPr>
                <w:sz w:val="18"/>
                <w:szCs w:val="18"/>
              </w:rPr>
              <w:t>, 1 закрит басейн, джакузи</w:t>
            </w:r>
          </w:p>
          <w:p w14:paraId="49495EB1" w14:textId="5D673A4A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0235A4">
              <w:rPr>
                <w:sz w:val="18"/>
                <w:szCs w:val="18"/>
              </w:rPr>
              <w:t>ите на хотел Мура</w:t>
            </w:r>
            <w:r w:rsidR="00263131">
              <w:rPr>
                <w:sz w:val="18"/>
                <w:szCs w:val="18"/>
              </w:rPr>
              <w:t xml:space="preserve"> и Славуна</w:t>
            </w:r>
            <w:r w:rsidRPr="004B1DF4">
              <w:rPr>
                <w:sz w:val="18"/>
                <w:szCs w:val="18"/>
              </w:rPr>
              <w:t xml:space="preserve">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A96E87">
              <w:rPr>
                <w:sz w:val="18"/>
                <w:szCs w:val="18"/>
              </w:rPr>
              <w:t>срещу заплащ</w:t>
            </w:r>
            <w:r w:rsidR="00263131">
              <w:rPr>
                <w:sz w:val="18"/>
                <w:szCs w:val="18"/>
              </w:rPr>
              <w:t>а</w:t>
            </w:r>
            <w:r w:rsidR="000235A4" w:rsidRPr="00A96E87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0A8927DB" w:rsidR="004B1DF4" w:rsidRPr="004B1DF4" w:rsidRDefault="000235A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50F1AC2F" w14:textId="0A34394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0235A4">
              <w:rPr>
                <w:sz w:val="18"/>
                <w:szCs w:val="18"/>
              </w:rPr>
              <w:t xml:space="preserve">в хотел Гергана </w:t>
            </w:r>
            <w:r w:rsidRPr="004B1DF4">
              <w:rPr>
                <w:sz w:val="18"/>
                <w:szCs w:val="18"/>
              </w:rPr>
              <w:t>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0D80E8F8" w14:textId="7B10FDB1" w:rsidR="000235A4" w:rsidRPr="000235A4" w:rsidRDefault="000235A4" w:rsidP="004B1DF4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0235A4">
              <w:rPr>
                <w:i/>
                <w:iCs/>
                <w:sz w:val="18"/>
                <w:szCs w:val="18"/>
              </w:rPr>
              <w:t xml:space="preserve">(по време на </w:t>
            </w:r>
            <w:r>
              <w:rPr>
                <w:i/>
                <w:iCs/>
                <w:sz w:val="18"/>
                <w:szCs w:val="18"/>
              </w:rPr>
              <w:t xml:space="preserve">активностите на </w:t>
            </w:r>
            <w:r w:rsidRPr="000235A4">
              <w:rPr>
                <w:i/>
                <w:iCs/>
                <w:sz w:val="18"/>
                <w:szCs w:val="18"/>
              </w:rPr>
              <w:t>анимация</w:t>
            </w:r>
            <w:r>
              <w:rPr>
                <w:i/>
                <w:iCs/>
                <w:sz w:val="18"/>
                <w:szCs w:val="18"/>
              </w:rPr>
              <w:t>та</w:t>
            </w:r>
            <w:r w:rsidRPr="000235A4">
              <w:rPr>
                <w:i/>
                <w:iCs/>
                <w:sz w:val="18"/>
                <w:szCs w:val="18"/>
              </w:rPr>
              <w:t xml:space="preserve">, гостите на хотел </w:t>
            </w:r>
            <w:r w:rsidR="00263131">
              <w:rPr>
                <w:i/>
                <w:iCs/>
                <w:sz w:val="18"/>
                <w:szCs w:val="18"/>
              </w:rPr>
              <w:t>Славуна</w:t>
            </w:r>
            <w:r w:rsidRPr="000235A4">
              <w:rPr>
                <w:i/>
                <w:iCs/>
                <w:sz w:val="18"/>
                <w:szCs w:val="18"/>
              </w:rPr>
              <w:t xml:space="preserve"> могат да ползват напитки на бар басейна на хотел Гергана)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416D67D1" w:rsidR="00263131" w:rsidRP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7588A"/>
    <w:rsid w:val="001E7E34"/>
    <w:rsid w:val="00263131"/>
    <w:rsid w:val="0029720B"/>
    <w:rsid w:val="002B26A8"/>
    <w:rsid w:val="0035149C"/>
    <w:rsid w:val="003E2BAA"/>
    <w:rsid w:val="004B1DF4"/>
    <w:rsid w:val="00667809"/>
    <w:rsid w:val="00731789"/>
    <w:rsid w:val="00891265"/>
    <w:rsid w:val="008D79C4"/>
    <w:rsid w:val="009A48A0"/>
    <w:rsid w:val="009B4F9A"/>
    <w:rsid w:val="009C1698"/>
    <w:rsid w:val="00A96E87"/>
    <w:rsid w:val="00BA5597"/>
    <w:rsid w:val="00BB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dcterms:created xsi:type="dcterms:W3CDTF">2024-08-31T12:54:00Z</dcterms:created>
  <dcterms:modified xsi:type="dcterms:W3CDTF">2024-12-10T19:41:00Z</dcterms:modified>
</cp:coreProperties>
</file>